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left" w:pos="1985"/>
        </w:tabs>
        <w:spacing w:after="120" w:before="120" w:lineRule="auto"/>
        <w:ind w:left="1656" w:hanging="720"/>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DEFINITIONS</w:t>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expressions shall have the following meanings:</w:t>
      </w:r>
    </w:p>
    <w:tbl>
      <w:tblPr>
        <w:tblStyle w:val="Table1"/>
        <w:tblW w:w="804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 Review"</w:t>
            </w:r>
          </w:p>
        </w:tc>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"Benchmarked Deliverables"</w:t>
            </w:r>
          </w:p>
        </w:tc>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Rates"</w:t>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Deliverables"</w:t>
            </w:r>
          </w:p>
        </w:tc>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"Comparison Group"</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"Equivalent Data"</w:t>
            </w:r>
          </w:p>
        </w:tc>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Value"</w:t>
            </w:r>
          </w:p>
        </w:tc>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"Upper Quartile"</w:t>
            </w:r>
          </w:p>
        </w:tc>
        <w:tc>
          <w:tcPr>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Benchmarked Rates, </w:t>
            </w:r>
            <w:r w:rsidDel="00000000" w:rsidR="00000000" w:rsidRPr="00000000">
              <w:rPr>
                <w:rFonts w:ascii="Arial" w:cs="Arial" w:eastAsia="Arial" w:hAnsi="Arial"/>
                <w:sz w:val="24"/>
                <w:szCs w:val="24"/>
                <w:rtl w:val="0"/>
              </w:rPr>
              <w:t xml:space="preserve">based</w:t>
            </w:r>
            <w:r w:rsidDel="00000000" w:rsidR="00000000" w:rsidRPr="00000000">
              <w:rPr>
                <w:rFonts w:ascii="Arial" w:cs="Arial" w:eastAsia="Arial" w:hAnsi="Arial"/>
                <w:color w:val="000000"/>
                <w:sz w:val="24"/>
                <w:szCs w:val="24"/>
                <w:rtl w:val="0"/>
              </w:rPr>
              <w:t xml:space="preserve">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When you should use this Schedule</w:t>
      </w: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this Schedule shall not fall with the definition of a Cost.</w:t>
      </w:r>
    </w:p>
    <w:p w:rsidR="00000000" w:rsidDel="00000000" w:rsidP="00000000" w:rsidRDefault="00000000" w:rsidRPr="00000000" w14:paraId="00000019">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Benchmarking</w:t>
      </w:r>
    </w:p>
    <w:p w:rsidR="00000000" w:rsidDel="00000000" w:rsidP="00000000" w:rsidRDefault="00000000" w:rsidRPr="00000000" w14:paraId="0000001A">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benchmarking works</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701"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recognise that, where specified in Framework Schedule 4 (Framework Management), the Buyer </w:t>
      </w:r>
      <w:r w:rsidDel="00000000" w:rsidR="00000000" w:rsidRPr="00000000">
        <w:rPr>
          <w:rFonts w:ascii="Arial" w:cs="Arial" w:eastAsia="Arial" w:hAnsi="Arial"/>
          <w:sz w:val="24"/>
          <w:szCs w:val="24"/>
          <w:rtl w:val="0"/>
        </w:rPr>
        <w:t xml:space="preserve">will</w:t>
      </w:r>
      <w:r w:rsidDel="00000000" w:rsidR="00000000" w:rsidRPr="00000000">
        <w:rPr>
          <w:rFonts w:ascii="Arial" w:cs="Arial" w:eastAsia="Arial" w:hAnsi="Arial"/>
          <w:color w:val="000000"/>
          <w:sz w:val="24"/>
          <w:szCs w:val="24"/>
          <w:rtl w:val="0"/>
        </w:rPr>
        <w:t xml:space="preserve"> give CCS the right to enforce the Buyer's rights under this Schedule.</w:t>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701"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may, by written notice to the Supplier, require a Benchmark Review of any or all of the Deliverables.</w:t>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701"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701"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701"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that are to be the Benchmarked Deliverables will be identified by the Buyer in writing.</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701"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701"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Benchmarking Process</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701" w:hanging="850"/>
        <w:jc w:val="left"/>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benchmarker shall produce and send to the Buyer, for Approval, a draft plan for the Benchmark Review which must include:</w:t>
      </w:r>
    </w:p>
    <w:p w:rsidR="00000000" w:rsidDel="00000000" w:rsidP="00000000" w:rsidRDefault="00000000" w:rsidRPr="00000000" w14:paraId="00000024">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proposed cost and timetable for the Benchmark Review;</w:t>
      </w:r>
    </w:p>
    <w:p w:rsidR="00000000" w:rsidDel="00000000" w:rsidP="00000000" w:rsidRDefault="00000000" w:rsidRPr="00000000" w14:paraId="00000025">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how the benchmarker will scope and identify the Comparison Group. </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701" w:hanging="850"/>
        <w:jc w:val="left"/>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701" w:hanging="850"/>
        <w:jc w:val="left"/>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701"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701"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it has received the Approval of the draft plan, the benchmarker shall:</w:t>
      </w:r>
    </w:p>
    <w:p w:rsidR="00000000" w:rsidDel="00000000" w:rsidP="00000000" w:rsidRDefault="00000000" w:rsidRPr="00000000" w14:paraId="0000002B">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C">
      <w:pPr>
        <w:numPr>
          <w:ilvl w:val="4"/>
          <w:numId w:val="1"/>
        </w:numPr>
        <w:pBdr>
          <w:top w:space="0" w:sz="0" w:val="nil"/>
          <w:left w:space="0" w:sz="0" w:val="nil"/>
          <w:bottom w:space="0" w:sz="0" w:val="nil"/>
          <w:right w:space="0" w:sz="0" w:val="nil"/>
          <w:between w:space="0" w:sz="0" w:val="nil"/>
        </w:pBdr>
        <w:tabs>
          <w:tab w:val="left" w:pos="3119"/>
        </w:tabs>
        <w:spacing w:after="120" w:before="120" w:lineRule="auto"/>
        <w:ind w:left="1440" w:firstLine="111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market intelligence;</w:t>
      </w:r>
    </w:p>
    <w:p w:rsidR="00000000" w:rsidDel="00000000" w:rsidP="00000000" w:rsidRDefault="00000000" w:rsidRPr="00000000" w14:paraId="0000002D">
      <w:pPr>
        <w:numPr>
          <w:ilvl w:val="4"/>
          <w:numId w:val="1"/>
        </w:numPr>
        <w:pBdr>
          <w:top w:space="0" w:sz="0" w:val="nil"/>
          <w:left w:space="0" w:sz="0" w:val="nil"/>
          <w:bottom w:space="0" w:sz="0" w:val="nil"/>
          <w:right w:space="0" w:sz="0" w:val="nil"/>
          <w:between w:space="0" w:sz="0" w:val="nil"/>
        </w:pBdr>
        <w:tabs>
          <w:tab w:val="left" w:pos="3119"/>
        </w:tabs>
        <w:spacing w:after="120" w:before="120" w:lineRule="auto"/>
        <w:ind w:left="1440" w:firstLine="111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benchmarker’s own data and experience;</w:t>
      </w:r>
    </w:p>
    <w:p w:rsidR="00000000" w:rsidDel="00000000" w:rsidP="00000000" w:rsidRDefault="00000000" w:rsidRPr="00000000" w14:paraId="0000002E">
      <w:pPr>
        <w:numPr>
          <w:ilvl w:val="4"/>
          <w:numId w:val="1"/>
        </w:numPr>
        <w:pBdr>
          <w:top w:space="0" w:sz="0" w:val="nil"/>
          <w:left w:space="0" w:sz="0" w:val="nil"/>
          <w:bottom w:space="0" w:sz="0" w:val="nil"/>
          <w:right w:space="0" w:sz="0" w:val="nil"/>
          <w:between w:space="0" w:sz="0" w:val="nil"/>
        </w:pBdr>
        <w:tabs>
          <w:tab w:val="left" w:pos="3119"/>
        </w:tabs>
        <w:spacing w:after="120" w:before="120" w:lineRule="auto"/>
        <w:ind w:left="1440" w:firstLine="111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published information; and</w:t>
      </w:r>
    </w:p>
    <w:p w:rsidR="00000000" w:rsidDel="00000000" w:rsidP="00000000" w:rsidRDefault="00000000" w:rsidRPr="00000000" w14:paraId="0000002F">
      <w:pPr>
        <w:numPr>
          <w:ilvl w:val="4"/>
          <w:numId w:val="1"/>
        </w:numPr>
        <w:pBdr>
          <w:top w:space="0" w:sz="0" w:val="nil"/>
          <w:left w:space="0" w:sz="0" w:val="nil"/>
          <w:bottom w:space="0" w:sz="0" w:val="nil"/>
          <w:right w:space="0" w:sz="0" w:val="nil"/>
          <w:between w:space="0" w:sz="0" w:val="nil"/>
        </w:pBdr>
        <w:tabs>
          <w:tab w:val="left" w:pos="3119"/>
        </w:tabs>
        <w:spacing w:after="120" w:before="120" w:lineRule="auto"/>
        <w:ind w:left="3119" w:hanging="566.9999999999999"/>
        <w:jc w:val="left"/>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pursuant to Paragraph 3.2.6  below, information from other suppliers or purchasers on Comparable Rates;</w:t>
      </w:r>
    </w:p>
    <w:p w:rsidR="00000000" w:rsidDel="00000000" w:rsidP="00000000" w:rsidRDefault="00000000" w:rsidRPr="00000000" w14:paraId="00000030">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using the Equivalent Data, calculate the Upper Quartile;</w:t>
      </w:r>
    </w:p>
    <w:p w:rsidR="00000000" w:rsidDel="00000000" w:rsidP="00000000" w:rsidRDefault="00000000" w:rsidRPr="00000000" w14:paraId="00000032">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determine whether or not each Benchmarked Rate is, and/or the Benchmarked Rates as a whole are, Good Value.</w:t>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701" w:hanging="850"/>
        <w:jc w:val="left"/>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701" w:hanging="850"/>
        <w:jc w:val="left"/>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exchange rates;</w:t>
      </w:r>
    </w:p>
    <w:p w:rsidR="00000000" w:rsidDel="00000000" w:rsidP="00000000" w:rsidRDefault="00000000" w:rsidRPr="00000000" w14:paraId="00000037">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Benchmarking Report</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701"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this Schedule "Benchmarking Report" shall mean the report produced by the benchmarker following the Benchmark Review and as further described in this Schedule;</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701"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Parties agree that any changes required to this Contract identified in the Benchmarking Report shall be implemented at the direction of the Buyer in accordance with Clause 24 of the Core Terms (Changing the contract). </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6">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2</w:t>
    </w:r>
    <w:r w:rsidDel="00000000" w:rsidR="00000000" w:rsidRPr="00000000">
      <w:rPr>
        <w:rFonts w:ascii="Arial" w:cs="Arial" w:eastAsia="Arial" w:hAnsi="Arial"/>
        <w:color w:val="000000"/>
        <w:sz w:val="20"/>
        <w:szCs w:val="20"/>
        <w:rtl w:val="0"/>
      </w:rPr>
      <w:t xml:space="preserve">.0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A">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-13330</wp:posOffset>
          </wp:positionV>
          <wp:extent cx="849085" cy="685627"/>
          <wp:effectExtent b="0" l="0" r="0" t="0"/>
          <wp:wrapNone/>
          <wp:docPr descr="Crown Commercial Service" id="5"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16 (Benchmarking)</w:t>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pPr>
    <w:rPr>
      <w:rFonts w:cs="Arial" w:eastAsia="Times New Roma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8EHo8/0pLZBbUeJyJNSnp2WuEzw==">AMUW2mWCs5trai0vEYGKjpLSakOgK47NdXNRPIotjH4QT/VWnDJ2a4ifEBEHyYU7Mj9HzZrNk+m1UKRgMhsVV4C7PLBe6i4Kr2HF859pgHd7DxcAGFYy05ViFUBhvEp5IvX2HF7fIBAGs7Icfv5rvInvbxMzill5AiVFrw26/FxI6EtYViIy5I6+NvjSNOkp4NttoV0K4pYo82r4CztL2luqY+JZCh212Q==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2022-08-03T12:22:00Z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